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  <w:t>：</w:t>
      </w:r>
      <w:bookmarkStart w:id="0" w:name="_GoBack"/>
      <w:r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  <w:t>律师涉税业务专项研修班日程拟安排表</w:t>
      </w:r>
      <w:bookmarkEnd w:id="0"/>
    </w:p>
    <w:tbl>
      <w:tblPr>
        <w:tblStyle w:val="3"/>
        <w:tblpPr w:leftFromText="180" w:rightFromText="180" w:vertAnchor="text" w:horzAnchor="page" w:tblpX="694" w:tblpY="328"/>
        <w:tblOverlap w:val="never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41"/>
        <w:gridCol w:w="5162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b/>
                <w:bCs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b/>
                <w:bCs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b/>
                <w:bCs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课程大纲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b/>
                <w:bCs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040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模块一：涉税信息发掘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如何发现和拓展涉税业务案源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929"/>
                <w:tab w:val="right" w:pos="1858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929"/>
                <w:tab w:val="right" w:pos="1858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新公司法解读及涉税问题分析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个独、合伙、有限合伙、有限责任、股份有限公司的涉税税种；法人股东、自然人股东的税负比较；股权安排、代持股、同股不同权、一致行动人协议、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VIE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架构中的涉税考量。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下午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财务报表解读与分析中的涉税问题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会计基础知识，资产负债表、利润表、现金流量表的解读与分析。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模块二：涉税刑事犯罪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两高《关于办理危害税收征管刑事案件适用法律若干问题的解释》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解读《关于办理危害税收征管刑事案件适用法律若干问题的解释》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分组讨论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两高发布依法惩治危害税收征管典型刑事案例分析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典型案例分析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虚开增值税发票罪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模块三：破产税收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D3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并购重组与破产税收理论与实务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并购重组涉税的一般税务处理与特殊税务处理；破产税收理论与实务。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D3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模拟法庭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企业破产案例沙龙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典型案例分析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模块四：税务合规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D4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税务合规、内部控制与第三方监管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税务审计与税务合规，涉税刑案的第三方监管制度。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D4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沙龙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税务合规案例沙龙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典型案例分析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模块五：律师事务所和律师的税务规划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D5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法商税融合视野下税务筹划理论与实务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兼论律所和律师的税务规划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法商税融合视野下税务筹划的前沿理论、分类、目标、原则、技巧和方法。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D5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下午</w:t>
            </w: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红岩烈士纪念馆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课时合计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方正仿宋_GBK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zBmMjY5NGNkYzJjOWY5ZWY3YTliNzJjODNmNzQifQ=="/>
  </w:docVars>
  <w:rsids>
    <w:rsidRoot w:val="4FA461D4"/>
    <w:rsid w:val="4FA46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2024-08-30T02:49:00Z</dcterms:created>
  <dc:creator>李惠盈</dc:creator>
  <cp:lastModifiedBy>李惠盈</cp:lastModifiedBy>
  <dcterms:modified xsi:type="dcterms:W3CDTF">2024-08-30T02:50:19Z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12F2C35B098543A9981883CA8EA621ED_11</vt:lpwstr>
  </property>
</Properties>
</file>